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Checklist: Use Case 27 – Set Up Contract Metadata Standards</w:t>
      </w:r>
    </w:p>
    <w:p>
      <w:r>
        <w:t>☐ Navigate to Admin &gt; Contracts and review existing fields.</w:t>
      </w:r>
    </w:p>
    <w:p>
      <w:r>
        <w:t>☐ Create custom fields as needed: Contract Owner, Auto-Renewal, Spend Category, etc.</w:t>
      </w:r>
    </w:p>
    <w:p>
      <w:r>
        <w:t>☐ Set important fields as 'Required' in form settings.</w:t>
      </w:r>
    </w:p>
    <w:p>
      <w:r>
        <w:t>☐ Standardize field options using dropdowns for consistency.</w:t>
      </w:r>
    </w:p>
    <w:p>
      <w:r>
        <w:t>☐ Train contract entry teams on required field population.</w:t>
      </w:r>
    </w:p>
    <w:p>
      <w:r>
        <w:t>☐ Create Saved Views to track incomplete or unassigned contracts.</w:t>
      </w:r>
    </w:p>
    <w:p>
      <w:r>
        <w:t>☐ Periodically audit entries for missing or inconsistent metadata.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